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</w:t>
      </w:r>
      <w:r>
        <w:rPr>
          <w:rFonts w:ascii="Segoe UI" w:hAnsi="Segoe UI" w:cs="Segoe UI"/>
          <w:b/>
          <w:sz w:val="32"/>
          <w:szCs w:val="32"/>
        </w:rPr>
        <w:t xml:space="preserve"> теме «Случаи и порядок возврата платы за предоставление сведений ЕГРН»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 w:firstLine="0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12 августа с 10 до 12 часов </w:t>
      </w:r>
      <w:r>
        <w:rPr>
          <w:rFonts w:ascii="Segoe UI" w:hAnsi="Segoe UI" w:cs="Segoe UI"/>
          <w:sz w:val="24"/>
          <w:szCs w:val="24"/>
        </w:rPr>
        <w:t xml:space="preserve">э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ксперты отдела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подготовки сведений филиала ППК «Роскадастр» </w:t>
      </w:r>
      <w:r>
        <w:rPr>
          <w:rFonts w:ascii="Segoe UI" w:hAnsi="Segoe UI" w:cs="Segoe UI"/>
        </w:rPr>
        <w:t xml:space="preserve">по Республике Карелия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ответят на вопросы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граждан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</w:t>
      </w:r>
      <w:r>
        <w:rPr>
          <w:rFonts w:ascii="Segoe UI" w:hAnsi="Segoe UI" w:cs="Segoe UI"/>
          <w:sz w:val="24"/>
          <w:szCs w:val="24"/>
        </w:rPr>
        <w:t xml:space="preserve">о теме</w:t>
      </w:r>
      <w:r>
        <w:rPr>
          <w:rFonts w:ascii="Segoe UI" w:hAnsi="Segoe UI" w:cs="Segoe UI"/>
        </w:rPr>
        <w:t xml:space="preserve"> «</w:t>
      </w:r>
      <w:r>
        <w:rPr>
          <w:rFonts w:ascii="Segoe UI" w:hAnsi="Segoe UI" w:cs="Segoe UI"/>
        </w:rPr>
        <w:t xml:space="preserve">Случаи и порядок возврата платы за предоставление сведений </w:t>
      </w:r>
      <w:r>
        <w:rPr>
          <w:rFonts w:ascii="Segoe UI" w:hAnsi="Segoe UI" w:cs="Segoe UI"/>
        </w:rPr>
        <w:t xml:space="preserve">Единого государственного реестра недвижимости</w:t>
      </w:r>
      <w:r>
        <w:rPr>
          <w:rFonts w:ascii="Segoe UI" w:hAnsi="Segoe UI" w:cs="Segoe UI"/>
        </w:rPr>
        <w:t xml:space="preserve"> (ЕГРН)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Телефон горячей линии: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8 (8142) 71-73-47 (доб. </w:t>
      </w:r>
      <w:r>
        <w:rPr>
          <w:rFonts w:ascii="Segoe UI" w:hAnsi="Segoe UI" w:eastAsia="Calibri" w:cs="Segoe UI"/>
          <w:b/>
        </w:rPr>
        <w:t xml:space="preserve">2</w:t>
      </w:r>
      <w:r>
        <w:rPr>
          <w:rFonts w:ascii="Segoe UI" w:hAnsi="Segoe UI" w:eastAsia="Calibri" w:cs="Segoe UI"/>
          <w:b/>
        </w:rPr>
        <w:t xml:space="preserve">)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6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6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6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6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16"/>
    <w:next w:val="916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16"/>
    <w:next w:val="91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6"/>
    <w:next w:val="91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6"/>
    <w:next w:val="916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6"/>
    <w:next w:val="916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6"/>
    <w:next w:val="916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6"/>
    <w:next w:val="916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6"/>
    <w:next w:val="916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next w:val="916"/>
    <w:link w:val="916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7">
    <w:name w:val="Основной шрифт абзаца"/>
    <w:next w:val="917"/>
    <w:link w:val="916"/>
    <w:uiPriority w:val="1"/>
    <w:unhideWhenUsed/>
    <w:pPr>
      <w:pBdr/>
      <w:spacing/>
      <w:ind/>
    </w:pPr>
  </w:style>
  <w:style w:type="table" w:styleId="918">
    <w:name w:val="Обычная таблица"/>
    <w:next w:val="918"/>
    <w:link w:val="916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>
    <w:name w:val="Нет списка"/>
    <w:next w:val="919"/>
    <w:link w:val="916"/>
    <w:uiPriority w:val="99"/>
    <w:semiHidden/>
    <w:unhideWhenUsed/>
    <w:pPr>
      <w:pBdr/>
      <w:spacing/>
      <w:ind/>
    </w:pPr>
  </w:style>
  <w:style w:type="paragraph" w:styleId="920">
    <w:name w:val="Верхний колонтитул"/>
    <w:basedOn w:val="916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1">
    <w:name w:val="Верхний колонтитул Знак"/>
    <w:basedOn w:val="917"/>
    <w:next w:val="921"/>
    <w:link w:val="920"/>
    <w:uiPriority w:val="99"/>
    <w:pPr>
      <w:pBdr/>
      <w:spacing/>
      <w:ind/>
    </w:pPr>
  </w:style>
  <w:style w:type="paragraph" w:styleId="922">
    <w:name w:val="Нижний колонтитул"/>
    <w:basedOn w:val="916"/>
    <w:next w:val="922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>
    <w:name w:val="Нижний колонтитул Знак"/>
    <w:basedOn w:val="917"/>
    <w:next w:val="923"/>
    <w:link w:val="922"/>
    <w:uiPriority w:val="99"/>
    <w:pPr>
      <w:pBdr/>
      <w:spacing/>
      <w:ind/>
    </w:pPr>
  </w:style>
  <w:style w:type="paragraph" w:styleId="924">
    <w:name w:val="Текст выноски"/>
    <w:basedOn w:val="916"/>
    <w:next w:val="924"/>
    <w:link w:val="925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5">
    <w:name w:val="Текст выноски Знак"/>
    <w:next w:val="925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>
    <w:name w:val="ConsPlusNormal"/>
    <w:next w:val="926"/>
    <w:link w:val="916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7">
    <w:name w:val="Гиперссылка"/>
    <w:next w:val="927"/>
    <w:link w:val="916"/>
    <w:uiPriority w:val="99"/>
    <w:pPr>
      <w:pBdr/>
      <w:spacing/>
      <w:ind/>
    </w:pPr>
    <w:rPr>
      <w:color w:val="0000ff"/>
      <w:u w:val="single"/>
    </w:rPr>
  </w:style>
  <w:style w:type="paragraph" w:styleId="928">
    <w:name w:val="Абзац списка"/>
    <w:basedOn w:val="916"/>
    <w:next w:val="928"/>
    <w:link w:val="916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9">
    <w:name w:val="Текст"/>
    <w:basedOn w:val="916"/>
    <w:next w:val="929"/>
    <w:link w:val="930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0">
    <w:name w:val="Текст Знак"/>
    <w:next w:val="930"/>
    <w:link w:val="929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1">
    <w:name w:val="paragraph scxw163741632 bcx0"/>
    <w:basedOn w:val="916"/>
    <w:next w:val="931"/>
    <w:link w:val="916"/>
    <w:pPr>
      <w:pBdr/>
      <w:spacing w:after="100" w:afterAutospacing="1" w:before="100" w:beforeAutospacing="1"/>
      <w:ind/>
    </w:pPr>
  </w:style>
  <w:style w:type="character" w:styleId="932">
    <w:name w:val="Выделение"/>
    <w:next w:val="932"/>
    <w:link w:val="916"/>
    <w:uiPriority w:val="20"/>
    <w:qFormat/>
    <w:pPr>
      <w:pBdr/>
      <w:spacing/>
      <w:ind/>
    </w:pPr>
    <w:rPr>
      <w:i/>
      <w:iCs/>
    </w:rPr>
  </w:style>
  <w:style w:type="character" w:styleId="933">
    <w:name w:val="Интернет-ссылка"/>
    <w:next w:val="933"/>
    <w:link w:val="916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</cp:revision>
  <dcterms:created xsi:type="dcterms:W3CDTF">2024-06-25T11:58:00Z</dcterms:created>
  <dcterms:modified xsi:type="dcterms:W3CDTF">2025-06-18T06:57:41Z</dcterms:modified>
  <cp:version>786432</cp:version>
</cp:coreProperties>
</file>